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F9" w:rsidRPr="00E47BD1" w:rsidRDefault="003B31F9" w:rsidP="003B31F9">
      <w:pPr>
        <w:jc w:val="both"/>
        <w:rPr>
          <w:rFonts w:ascii="Arial" w:hAnsi="Arial" w:cs="Arial"/>
          <w:b/>
          <w:lang w:val="en-GB"/>
        </w:rPr>
      </w:pPr>
      <w:r w:rsidRPr="00E47BD1">
        <w:rPr>
          <w:rFonts w:ascii="Arial" w:hAnsi="Arial" w:cs="Arial"/>
          <w:b/>
          <w:lang w:val="en-GB"/>
        </w:rPr>
        <w:t>Annex B</w:t>
      </w:r>
      <w:r w:rsidRPr="00E47BD1">
        <w:rPr>
          <w:rFonts w:ascii="Arial" w:hAnsi="Arial" w:cs="Arial"/>
          <w:b/>
          <w:lang w:val="en-GB"/>
        </w:rPr>
        <w:tab/>
        <w:t>MWG Terms of Reference</w:t>
      </w:r>
    </w:p>
    <w:p w:rsidR="003B31F9" w:rsidRPr="00E47BD1" w:rsidRDefault="003B31F9" w:rsidP="003B31F9">
      <w:pPr>
        <w:jc w:val="both"/>
        <w:rPr>
          <w:rFonts w:ascii="Arial" w:hAnsi="Arial" w:cs="Arial"/>
          <w:lang w:val="en-GB"/>
        </w:rPr>
      </w:pPr>
    </w:p>
    <w:p w:rsidR="003B31F9" w:rsidRPr="00E47BD1" w:rsidRDefault="003B31F9" w:rsidP="003B31F9">
      <w:pPr>
        <w:rPr>
          <w:rFonts w:ascii="Arial" w:hAnsi="Arial" w:cs="Arial"/>
          <w:b/>
        </w:rPr>
      </w:pPr>
      <w:r w:rsidRPr="00E47BD1">
        <w:rPr>
          <w:rFonts w:ascii="Arial" w:hAnsi="Arial" w:cs="Arial"/>
          <w:b/>
        </w:rPr>
        <w:t>Background</w:t>
      </w:r>
    </w:p>
    <w:p w:rsidR="003B31F9" w:rsidRPr="00E47BD1" w:rsidRDefault="003B31F9" w:rsidP="003B31F9">
      <w:pPr>
        <w:jc w:val="both"/>
        <w:rPr>
          <w:rFonts w:ascii="Arial" w:hAnsi="Arial" w:cs="Arial"/>
        </w:rPr>
      </w:pPr>
    </w:p>
    <w:p w:rsidR="003B31F9" w:rsidRPr="00E47BD1" w:rsidRDefault="003B31F9" w:rsidP="003B31F9">
      <w:pPr>
        <w:jc w:val="both"/>
        <w:rPr>
          <w:rFonts w:ascii="Arial" w:hAnsi="Arial" w:cs="Arial"/>
        </w:rPr>
      </w:pPr>
      <w:r w:rsidRPr="00E47BD1">
        <w:rPr>
          <w:rFonts w:ascii="Arial" w:hAnsi="Arial" w:cs="Arial"/>
        </w:rPr>
        <w:t>The concept of the INSARAG Medical Working Group (MWG) was proposed at the March 2007 USAR Team Leaders meeting in New Delhi, India. The proposal enjoyed unanimous support and was submitted by the INSARAG Secretariat to the INSARAG Steering Committee where it was approved during its annual meeting in May 2007. The MWG was convened in September 2007.</w:t>
      </w:r>
    </w:p>
    <w:p w:rsidR="003B31F9" w:rsidRPr="00E47BD1" w:rsidRDefault="003B31F9" w:rsidP="003B31F9">
      <w:pPr>
        <w:jc w:val="both"/>
        <w:rPr>
          <w:rFonts w:ascii="Arial" w:hAnsi="Arial" w:cs="Arial"/>
        </w:rPr>
      </w:pPr>
    </w:p>
    <w:p w:rsidR="003B31F9" w:rsidRPr="00E47BD1" w:rsidRDefault="003B31F9" w:rsidP="003B31F9">
      <w:pPr>
        <w:jc w:val="both"/>
        <w:rPr>
          <w:rFonts w:ascii="Arial" w:hAnsi="Arial" w:cs="Arial"/>
          <w:lang w:val="en-AU"/>
        </w:rPr>
      </w:pPr>
      <w:r w:rsidRPr="00E47BD1">
        <w:rPr>
          <w:rFonts w:ascii="Arial" w:hAnsi="Arial" w:cs="Arial"/>
          <w:lang w:val="en-AU"/>
        </w:rPr>
        <w:t>The MWG is an inter-regional working group comprising representatives from all three INSARAG Regional groups with country representatives from the following:</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Australia</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China</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Finland</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Germany</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Greece</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Israel</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Japan</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Netherlands</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Switzerland</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United Arab Emirates</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United Kingdom</w:t>
      </w:r>
    </w:p>
    <w:p w:rsidR="003B31F9" w:rsidRPr="00E47BD1" w:rsidRDefault="003B31F9" w:rsidP="003B31F9">
      <w:pPr>
        <w:numPr>
          <w:ilvl w:val="0"/>
          <w:numId w:val="2"/>
        </w:numPr>
        <w:jc w:val="both"/>
        <w:rPr>
          <w:rFonts w:ascii="Arial" w:hAnsi="Arial" w:cs="Arial"/>
          <w:lang w:val="en-AU"/>
        </w:rPr>
      </w:pPr>
      <w:r w:rsidRPr="00E47BD1">
        <w:rPr>
          <w:rFonts w:ascii="Arial" w:hAnsi="Arial" w:cs="Arial"/>
          <w:lang w:val="en-AU"/>
        </w:rPr>
        <w:t>United States of America</w:t>
      </w:r>
    </w:p>
    <w:p w:rsidR="003B31F9" w:rsidRPr="00E47BD1" w:rsidRDefault="003B31F9" w:rsidP="003B31F9">
      <w:pPr>
        <w:jc w:val="both"/>
        <w:rPr>
          <w:rFonts w:ascii="Arial" w:hAnsi="Arial" w:cs="Arial"/>
          <w:lang w:val="en-AU"/>
        </w:rPr>
      </w:pPr>
    </w:p>
    <w:p w:rsidR="003B31F9" w:rsidRPr="00E47BD1" w:rsidRDefault="003B31F9" w:rsidP="003B31F9">
      <w:pPr>
        <w:jc w:val="both"/>
        <w:rPr>
          <w:rFonts w:ascii="Arial" w:hAnsi="Arial" w:cs="Arial"/>
          <w:lang w:val="en-AU"/>
        </w:rPr>
      </w:pPr>
      <w:r w:rsidRPr="00E47BD1">
        <w:rPr>
          <w:rFonts w:ascii="Arial" w:hAnsi="Arial" w:cs="Arial"/>
          <w:lang w:val="en-AU"/>
        </w:rPr>
        <w:t>Since its inception, the MWG has met on three occasions:</w:t>
      </w:r>
    </w:p>
    <w:p w:rsidR="003B31F9" w:rsidRPr="00E47BD1" w:rsidRDefault="003B31F9" w:rsidP="003B31F9">
      <w:pPr>
        <w:numPr>
          <w:ilvl w:val="0"/>
          <w:numId w:val="3"/>
        </w:numPr>
        <w:jc w:val="both"/>
        <w:rPr>
          <w:rFonts w:ascii="Arial" w:hAnsi="Arial" w:cs="Arial"/>
          <w:lang w:val="en-AU"/>
        </w:rPr>
      </w:pPr>
      <w:r w:rsidRPr="00E47BD1">
        <w:rPr>
          <w:rFonts w:ascii="Arial" w:hAnsi="Arial" w:cs="Arial"/>
        </w:rPr>
        <w:t>8 – 10 May 2008, UK;</w:t>
      </w:r>
    </w:p>
    <w:p w:rsidR="003B31F9" w:rsidRPr="00E47BD1" w:rsidRDefault="003B31F9" w:rsidP="003B31F9">
      <w:pPr>
        <w:numPr>
          <w:ilvl w:val="0"/>
          <w:numId w:val="3"/>
        </w:numPr>
        <w:jc w:val="both"/>
        <w:rPr>
          <w:rFonts w:ascii="Arial" w:hAnsi="Arial" w:cs="Arial"/>
          <w:lang w:val="en-AU"/>
        </w:rPr>
      </w:pPr>
      <w:r w:rsidRPr="00E47BD1">
        <w:rPr>
          <w:rFonts w:ascii="Arial" w:hAnsi="Arial" w:cs="Arial"/>
        </w:rPr>
        <w:t>13 – 16 January 2009, UAE;</w:t>
      </w:r>
    </w:p>
    <w:p w:rsidR="003B31F9" w:rsidRPr="00E47BD1" w:rsidRDefault="003B31F9" w:rsidP="003B31F9">
      <w:pPr>
        <w:numPr>
          <w:ilvl w:val="0"/>
          <w:numId w:val="3"/>
        </w:numPr>
        <w:jc w:val="both"/>
        <w:rPr>
          <w:rFonts w:ascii="Arial" w:hAnsi="Arial" w:cs="Arial"/>
          <w:lang w:val="en-AU"/>
        </w:rPr>
      </w:pPr>
      <w:r w:rsidRPr="00E47BD1">
        <w:rPr>
          <w:rFonts w:ascii="Arial" w:hAnsi="Arial" w:cs="Arial"/>
        </w:rPr>
        <w:t>15 – 17 April 2009, Australia.</w:t>
      </w:r>
    </w:p>
    <w:p w:rsidR="003B31F9" w:rsidRPr="00E47BD1" w:rsidRDefault="003B31F9" w:rsidP="003B31F9">
      <w:pPr>
        <w:jc w:val="both"/>
        <w:rPr>
          <w:rFonts w:ascii="Arial" w:hAnsi="Arial" w:cs="Arial"/>
        </w:rPr>
      </w:pPr>
    </w:p>
    <w:p w:rsidR="003B31F9" w:rsidRPr="00E47BD1" w:rsidRDefault="003B31F9" w:rsidP="003B31F9">
      <w:pPr>
        <w:jc w:val="both"/>
        <w:rPr>
          <w:rFonts w:ascii="Arial" w:hAnsi="Arial" w:cs="Arial"/>
        </w:rPr>
      </w:pPr>
      <w:r w:rsidRPr="00E47BD1">
        <w:rPr>
          <w:rFonts w:ascii="Arial" w:hAnsi="Arial" w:cs="Arial"/>
        </w:rPr>
        <w:t>The MWG was tasked to deliver a medical supplement to augment the INSARAG Guidelines and to review the medical evaluation criteria for the INSARAG External Classification (IEC) Checklist. The MWG has completed both tasks.</w:t>
      </w:r>
    </w:p>
    <w:p w:rsidR="003B31F9" w:rsidRPr="00E47BD1" w:rsidRDefault="003B31F9" w:rsidP="003B31F9">
      <w:pPr>
        <w:jc w:val="both"/>
        <w:rPr>
          <w:rFonts w:ascii="Arial" w:hAnsi="Arial" w:cs="Arial"/>
        </w:rPr>
      </w:pPr>
    </w:p>
    <w:p w:rsidR="003B31F9" w:rsidRPr="00E47BD1" w:rsidRDefault="003B31F9" w:rsidP="003B31F9">
      <w:pPr>
        <w:jc w:val="both"/>
        <w:rPr>
          <w:rFonts w:ascii="Arial" w:hAnsi="Arial" w:cs="Arial"/>
        </w:rPr>
      </w:pPr>
      <w:r w:rsidRPr="00E47BD1">
        <w:rPr>
          <w:rFonts w:ascii="Arial" w:hAnsi="Arial" w:cs="Arial"/>
        </w:rPr>
        <w:t>The INSARAG Guidelines Medical Supplement is currently in a draft format awaiting approval from the INSARAG Steering Committee (Annex A). The amendment to the medical criteria are included in Annex B which is an excerpt from the updated IEC Checklist (IEC checklist 2010 26082009).</w:t>
      </w:r>
    </w:p>
    <w:p w:rsidR="003B31F9" w:rsidRPr="00E47BD1" w:rsidRDefault="003B31F9" w:rsidP="003B31F9">
      <w:pPr>
        <w:jc w:val="both"/>
        <w:rPr>
          <w:rFonts w:ascii="Arial" w:hAnsi="Arial" w:cs="Arial"/>
        </w:rPr>
      </w:pPr>
    </w:p>
    <w:p w:rsidR="003B31F9" w:rsidRPr="00E47BD1" w:rsidRDefault="003B31F9" w:rsidP="003B31F9">
      <w:pPr>
        <w:rPr>
          <w:rFonts w:ascii="Arial" w:hAnsi="Arial" w:cs="Arial"/>
          <w:b/>
        </w:rPr>
      </w:pPr>
      <w:r w:rsidRPr="00E47BD1">
        <w:rPr>
          <w:rFonts w:ascii="Arial" w:hAnsi="Arial" w:cs="Arial"/>
          <w:b/>
        </w:rPr>
        <w:t>Need for the Continuation of the MWG</w:t>
      </w:r>
    </w:p>
    <w:p w:rsidR="003B31F9" w:rsidRPr="00E47BD1" w:rsidRDefault="003B31F9" w:rsidP="003B31F9">
      <w:pPr>
        <w:jc w:val="both"/>
        <w:rPr>
          <w:rFonts w:ascii="Arial" w:hAnsi="Arial" w:cs="Arial"/>
        </w:rPr>
      </w:pPr>
    </w:p>
    <w:p w:rsidR="003B31F9" w:rsidRPr="00E47BD1" w:rsidRDefault="003B31F9" w:rsidP="003B31F9">
      <w:pPr>
        <w:jc w:val="both"/>
        <w:rPr>
          <w:rFonts w:ascii="Arial" w:hAnsi="Arial" w:cs="Arial"/>
        </w:rPr>
      </w:pPr>
      <w:r w:rsidRPr="00E47BD1">
        <w:rPr>
          <w:rFonts w:ascii="Arial" w:hAnsi="Arial" w:cs="Arial"/>
        </w:rPr>
        <w:t>Although the initial MWG assignments have been completed, the existing outputs provide only broad guidelines. The Members are of the opinion that MWG can contribute significant additional value to USAR medical operations.</w:t>
      </w:r>
    </w:p>
    <w:p w:rsidR="003B31F9" w:rsidRPr="00E47BD1" w:rsidRDefault="003B31F9" w:rsidP="003B31F9">
      <w:pPr>
        <w:jc w:val="both"/>
        <w:rPr>
          <w:rFonts w:ascii="Arial" w:hAnsi="Arial" w:cs="Arial"/>
        </w:rPr>
      </w:pPr>
    </w:p>
    <w:p w:rsidR="003B31F9" w:rsidRPr="00E47BD1" w:rsidRDefault="003B31F9" w:rsidP="003B31F9">
      <w:pPr>
        <w:jc w:val="both"/>
        <w:rPr>
          <w:rFonts w:ascii="Arial" w:hAnsi="Arial" w:cs="Arial"/>
        </w:rPr>
      </w:pPr>
      <w:r w:rsidRPr="00E47BD1">
        <w:rPr>
          <w:rFonts w:ascii="Arial" w:hAnsi="Arial" w:cs="Arial"/>
        </w:rPr>
        <w:t>Ongoing medical research results in frequent changes to medical practice guidelines which will have a continuing impact on USAR medical operations. It is therefore recommended that, and in keeping with internationally accepted practice, the medical components of the INSARAG Guidelines should be reviewed at least annually or by exception when major clinical guidelines changes are published.</w:t>
      </w:r>
    </w:p>
    <w:p w:rsidR="003B31F9" w:rsidRPr="00E47BD1" w:rsidRDefault="003B31F9" w:rsidP="003B31F9">
      <w:pPr>
        <w:jc w:val="both"/>
        <w:rPr>
          <w:rFonts w:ascii="Arial" w:hAnsi="Arial" w:cs="Arial"/>
        </w:rPr>
      </w:pPr>
    </w:p>
    <w:p w:rsidR="003B31F9" w:rsidRPr="00E47BD1" w:rsidRDefault="003B31F9" w:rsidP="003B31F9">
      <w:pPr>
        <w:jc w:val="both"/>
        <w:rPr>
          <w:rFonts w:ascii="Arial" w:hAnsi="Arial" w:cs="Arial"/>
        </w:rPr>
      </w:pPr>
      <w:r w:rsidRPr="00E47BD1">
        <w:rPr>
          <w:rFonts w:ascii="Arial" w:hAnsi="Arial" w:cs="Arial"/>
        </w:rPr>
        <w:t>The practice of USAR medical care, like other USAR operations, occurs in a multicultural environment. It is therefore important to obtain input from a broad spectrum of countries when developing USAR medical procedures and processes. The MWG consists of emergency medical care professionals who deal with these relevant issues as part of their daily responsibilities and are also regularly engaged in disaster response operations. The MWG should therefore be viewed as a focal point for medical issues relating to all aspects of USAR including; planning, preparedness, response and recovery.</w:t>
      </w:r>
    </w:p>
    <w:p w:rsidR="003B31F9" w:rsidRPr="00E47BD1" w:rsidRDefault="003B31F9" w:rsidP="003B31F9">
      <w:pPr>
        <w:jc w:val="both"/>
        <w:rPr>
          <w:rFonts w:ascii="Arial" w:hAnsi="Arial" w:cs="Arial"/>
        </w:rPr>
      </w:pPr>
    </w:p>
    <w:p w:rsidR="003B31F9" w:rsidRPr="00E47BD1" w:rsidRDefault="003B31F9" w:rsidP="003B31F9">
      <w:pPr>
        <w:jc w:val="both"/>
        <w:rPr>
          <w:rFonts w:ascii="Arial" w:hAnsi="Arial" w:cs="Arial"/>
        </w:rPr>
      </w:pPr>
      <w:r w:rsidRPr="00E47BD1">
        <w:rPr>
          <w:rFonts w:ascii="Arial" w:hAnsi="Arial" w:cs="Arial"/>
        </w:rPr>
        <w:t xml:space="preserve">The proposal for the MWG to continue was supported by the Annual Africa-Europe- Middle East INSARAG Regional Meeting held in Budapest, Hungary in October 2009. </w:t>
      </w:r>
    </w:p>
    <w:p w:rsidR="003B31F9" w:rsidRPr="00E47BD1" w:rsidRDefault="003B31F9" w:rsidP="003B31F9">
      <w:pPr>
        <w:jc w:val="both"/>
        <w:rPr>
          <w:rFonts w:ascii="Arial" w:hAnsi="Arial" w:cs="Arial"/>
        </w:rPr>
      </w:pPr>
    </w:p>
    <w:p w:rsidR="003B31F9" w:rsidRPr="00E47BD1" w:rsidRDefault="003B31F9" w:rsidP="003B31F9">
      <w:pPr>
        <w:jc w:val="both"/>
        <w:rPr>
          <w:rFonts w:ascii="Arial" w:hAnsi="Arial" w:cs="Arial"/>
        </w:rPr>
      </w:pPr>
      <w:r w:rsidRPr="00E47BD1">
        <w:rPr>
          <w:rFonts w:ascii="Arial" w:hAnsi="Arial" w:cs="Arial"/>
        </w:rPr>
        <w:t>Other critical activities that the MWG should continue to address are listed below.</w:t>
      </w:r>
    </w:p>
    <w:p w:rsidR="003B31F9" w:rsidRPr="00E47BD1" w:rsidRDefault="003B31F9" w:rsidP="003B31F9">
      <w:pPr>
        <w:jc w:val="both"/>
        <w:rPr>
          <w:rFonts w:ascii="Arial" w:hAnsi="Arial" w:cs="Arial"/>
        </w:rPr>
      </w:pPr>
    </w:p>
    <w:p w:rsidR="003B31F9" w:rsidRPr="00E47BD1" w:rsidRDefault="003B31F9" w:rsidP="003B31F9">
      <w:pPr>
        <w:rPr>
          <w:rFonts w:ascii="Arial" w:hAnsi="Arial" w:cs="Arial"/>
          <w:b/>
        </w:rPr>
      </w:pPr>
      <w:r w:rsidRPr="00E47BD1">
        <w:rPr>
          <w:rFonts w:ascii="Arial" w:hAnsi="Arial" w:cs="Arial"/>
          <w:b/>
        </w:rPr>
        <w:t>Ongoing MWG Activities</w:t>
      </w:r>
    </w:p>
    <w:p w:rsidR="003B31F9" w:rsidRPr="00E47BD1" w:rsidRDefault="003B31F9" w:rsidP="003B31F9">
      <w:pPr>
        <w:jc w:val="both"/>
        <w:rPr>
          <w:rFonts w:ascii="Arial" w:hAnsi="Arial" w:cs="Arial"/>
        </w:rPr>
      </w:pPr>
    </w:p>
    <w:p w:rsidR="003B31F9" w:rsidRPr="00E47BD1" w:rsidRDefault="003B31F9" w:rsidP="003B31F9">
      <w:pPr>
        <w:pStyle w:val="ListParagraph"/>
        <w:numPr>
          <w:ilvl w:val="0"/>
          <w:numId w:val="1"/>
        </w:numPr>
        <w:spacing w:after="0"/>
        <w:contextualSpacing w:val="0"/>
        <w:jc w:val="both"/>
        <w:rPr>
          <w:rFonts w:ascii="Arial" w:hAnsi="Arial" w:cs="Arial"/>
          <w:sz w:val="24"/>
          <w:szCs w:val="24"/>
        </w:rPr>
      </w:pPr>
      <w:r w:rsidRPr="00E47BD1">
        <w:rPr>
          <w:rFonts w:ascii="Arial" w:hAnsi="Arial" w:cs="Arial"/>
          <w:sz w:val="24"/>
          <w:szCs w:val="24"/>
        </w:rPr>
        <w:t>Recommended USAR clinical practices (evaluation and treatment), related to injuries and illnesses likely to be encountered in the collapsed structure environment. These clinical practices would cover ailments of both rescuer and victim alike.</w:t>
      </w:r>
    </w:p>
    <w:p w:rsidR="003B31F9" w:rsidRPr="00E47BD1" w:rsidRDefault="003B31F9" w:rsidP="003B31F9">
      <w:pPr>
        <w:pStyle w:val="ListParagraph"/>
        <w:numPr>
          <w:ilvl w:val="0"/>
          <w:numId w:val="1"/>
        </w:numPr>
        <w:spacing w:after="0"/>
        <w:contextualSpacing w:val="0"/>
        <w:jc w:val="both"/>
        <w:rPr>
          <w:rFonts w:ascii="Arial" w:hAnsi="Arial" w:cs="Arial"/>
          <w:sz w:val="24"/>
          <w:szCs w:val="24"/>
        </w:rPr>
      </w:pPr>
      <w:r w:rsidRPr="00E47BD1">
        <w:rPr>
          <w:rFonts w:ascii="Arial" w:hAnsi="Arial" w:cs="Arial"/>
          <w:sz w:val="24"/>
          <w:szCs w:val="24"/>
        </w:rPr>
        <w:t xml:space="preserve">Develop suggested procedures for the extrication of the deceased from collapsed structures (for use only when USAR teams are requested by the LEMA to assist with this activity). Procedures would necessarily need to incorporate local cultural sensitivities and protective measures for individuals conducting the activity. </w:t>
      </w:r>
    </w:p>
    <w:p w:rsidR="003B31F9" w:rsidRPr="00E47BD1" w:rsidRDefault="003B31F9" w:rsidP="003B31F9">
      <w:pPr>
        <w:pStyle w:val="ListParagraph"/>
        <w:numPr>
          <w:ilvl w:val="0"/>
          <w:numId w:val="1"/>
        </w:numPr>
        <w:spacing w:after="0"/>
        <w:contextualSpacing w:val="0"/>
        <w:jc w:val="both"/>
        <w:rPr>
          <w:rFonts w:ascii="Arial" w:hAnsi="Arial" w:cs="Arial"/>
          <w:sz w:val="24"/>
          <w:szCs w:val="24"/>
        </w:rPr>
      </w:pPr>
      <w:r w:rsidRPr="00E47BD1">
        <w:rPr>
          <w:rFonts w:ascii="Arial" w:hAnsi="Arial" w:cs="Arial"/>
          <w:sz w:val="24"/>
          <w:szCs w:val="24"/>
        </w:rPr>
        <w:t>Provide recommendations for USAR medical operations if they may be impacted by new medical threats;</w:t>
      </w:r>
    </w:p>
    <w:p w:rsidR="003B31F9" w:rsidRPr="00E47BD1" w:rsidRDefault="003B31F9" w:rsidP="003B31F9">
      <w:pPr>
        <w:pStyle w:val="ListParagraph"/>
        <w:numPr>
          <w:ilvl w:val="0"/>
          <w:numId w:val="1"/>
        </w:numPr>
        <w:spacing w:after="0"/>
        <w:contextualSpacing w:val="0"/>
        <w:jc w:val="both"/>
        <w:rPr>
          <w:rFonts w:ascii="Arial" w:hAnsi="Arial" w:cs="Arial"/>
          <w:sz w:val="24"/>
          <w:szCs w:val="24"/>
        </w:rPr>
      </w:pPr>
      <w:r w:rsidRPr="00E47BD1">
        <w:rPr>
          <w:rFonts w:ascii="Arial" w:hAnsi="Arial" w:cs="Arial"/>
          <w:sz w:val="24"/>
          <w:szCs w:val="24"/>
        </w:rPr>
        <w:t>Develop a guidance training package for local responders at the community level dealing with medical assistance for trapped victims in conjunction with the TWG first responder training;</w:t>
      </w:r>
    </w:p>
    <w:p w:rsidR="003B31F9" w:rsidRPr="00E47BD1" w:rsidRDefault="003B31F9" w:rsidP="003B31F9">
      <w:pPr>
        <w:pStyle w:val="ListParagraph"/>
        <w:numPr>
          <w:ilvl w:val="0"/>
          <w:numId w:val="1"/>
        </w:numPr>
        <w:spacing w:after="0"/>
        <w:contextualSpacing w:val="0"/>
        <w:jc w:val="both"/>
        <w:rPr>
          <w:rFonts w:ascii="Arial" w:hAnsi="Arial" w:cs="Arial"/>
          <w:sz w:val="24"/>
          <w:szCs w:val="24"/>
        </w:rPr>
      </w:pPr>
      <w:r w:rsidRPr="00E47BD1">
        <w:rPr>
          <w:rFonts w:ascii="Arial" w:hAnsi="Arial" w:cs="Arial"/>
          <w:sz w:val="24"/>
          <w:szCs w:val="24"/>
        </w:rPr>
        <w:t>Develop and propose a minimum competency framework for medical personnel on INSARAG USAR teams;</w:t>
      </w:r>
    </w:p>
    <w:p w:rsidR="003B31F9" w:rsidRPr="00E47BD1" w:rsidRDefault="003B31F9" w:rsidP="003B31F9">
      <w:pPr>
        <w:pStyle w:val="ListParagraph"/>
        <w:numPr>
          <w:ilvl w:val="0"/>
          <w:numId w:val="1"/>
        </w:numPr>
        <w:spacing w:after="0"/>
        <w:contextualSpacing w:val="0"/>
        <w:jc w:val="both"/>
        <w:rPr>
          <w:rFonts w:ascii="Arial" w:hAnsi="Arial" w:cs="Arial"/>
          <w:sz w:val="24"/>
          <w:szCs w:val="24"/>
        </w:rPr>
      </w:pPr>
      <w:r w:rsidRPr="00E47BD1">
        <w:rPr>
          <w:rFonts w:ascii="Arial" w:hAnsi="Arial" w:cs="Arial"/>
          <w:sz w:val="24"/>
          <w:szCs w:val="24"/>
        </w:rPr>
        <w:t>Develop operational procedures for USAR medical personnel that facilitate their ability to interact with the OSOCC and to provide support, where possible, to its health and medical missions.</w:t>
      </w:r>
    </w:p>
    <w:p w:rsidR="003B31F9" w:rsidRPr="00E47BD1" w:rsidRDefault="003B31F9" w:rsidP="003B31F9">
      <w:pPr>
        <w:pStyle w:val="ListParagraph"/>
        <w:numPr>
          <w:ilvl w:val="0"/>
          <w:numId w:val="1"/>
        </w:numPr>
        <w:spacing w:after="0"/>
        <w:contextualSpacing w:val="0"/>
        <w:jc w:val="both"/>
        <w:rPr>
          <w:rFonts w:ascii="Arial" w:hAnsi="Arial" w:cs="Arial"/>
          <w:sz w:val="24"/>
          <w:szCs w:val="24"/>
        </w:rPr>
      </w:pPr>
      <w:r w:rsidRPr="00E47BD1">
        <w:rPr>
          <w:rFonts w:ascii="Arial" w:hAnsi="Arial" w:cs="Arial"/>
          <w:sz w:val="24"/>
          <w:szCs w:val="24"/>
        </w:rPr>
        <w:t>Conduct periodic reviews of medical experiences from actual responses with specific emphasis on improving the ability of USAR medical teams to meet their stated mission.</w:t>
      </w:r>
    </w:p>
    <w:p w:rsidR="003B31F9" w:rsidRPr="00E47BD1" w:rsidRDefault="003B31F9" w:rsidP="003B31F9">
      <w:pPr>
        <w:pStyle w:val="ListParagraph"/>
        <w:numPr>
          <w:ilvl w:val="0"/>
          <w:numId w:val="1"/>
        </w:numPr>
        <w:spacing w:after="0"/>
        <w:contextualSpacing w:val="0"/>
        <w:jc w:val="both"/>
        <w:rPr>
          <w:rFonts w:ascii="Arial" w:hAnsi="Arial" w:cs="Arial"/>
          <w:sz w:val="24"/>
          <w:szCs w:val="24"/>
        </w:rPr>
      </w:pPr>
      <w:r w:rsidRPr="00E47BD1">
        <w:rPr>
          <w:rFonts w:ascii="Arial" w:hAnsi="Arial" w:cs="Arial"/>
          <w:sz w:val="24"/>
          <w:szCs w:val="24"/>
        </w:rPr>
        <w:t>Initiate and contribute to research efforts examining issues such as survivability in collapsed structures and how the findings potentially influence operational tactics.</w:t>
      </w:r>
    </w:p>
    <w:p w:rsidR="003B31F9" w:rsidRPr="00E47BD1" w:rsidRDefault="003B31F9" w:rsidP="003B31F9">
      <w:pPr>
        <w:pStyle w:val="ListParagraph"/>
        <w:ind w:left="0"/>
        <w:jc w:val="both"/>
        <w:rPr>
          <w:rFonts w:ascii="Arial" w:hAnsi="Arial" w:cs="Arial"/>
          <w:sz w:val="24"/>
          <w:szCs w:val="24"/>
        </w:rPr>
      </w:pPr>
    </w:p>
    <w:p w:rsidR="00794895" w:rsidRPr="003B31F9" w:rsidRDefault="003B31F9" w:rsidP="003B31F9">
      <w:pPr>
        <w:pStyle w:val="ListParagraph"/>
        <w:ind w:left="0"/>
        <w:jc w:val="both"/>
        <w:rPr>
          <w:rFonts w:ascii="Arial" w:hAnsi="Arial" w:cs="Arial"/>
          <w:sz w:val="24"/>
          <w:szCs w:val="24"/>
        </w:rPr>
      </w:pPr>
      <w:r w:rsidRPr="00E47BD1">
        <w:rPr>
          <w:rFonts w:ascii="Arial" w:hAnsi="Arial" w:cs="Arial"/>
          <w:sz w:val="24"/>
          <w:szCs w:val="24"/>
        </w:rPr>
        <w:t>The Steering Committee reiterated that the MWG should confine its focus to USAR medical related issues only.</w:t>
      </w:r>
    </w:p>
    <w:sectPr w:rsidR="00794895" w:rsidRPr="003B31F9" w:rsidSect="007948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6830"/>
    <w:multiLevelType w:val="hybridMultilevel"/>
    <w:tmpl w:val="AFE2E132"/>
    <w:lvl w:ilvl="0" w:tplc="BCF4695C">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F56618"/>
    <w:multiLevelType w:val="hybridMultilevel"/>
    <w:tmpl w:val="DFA41576"/>
    <w:lvl w:ilvl="0" w:tplc="BCF4695C">
      <w:start w:val="1"/>
      <w:numFmt w:val="bullet"/>
      <w:lvlText w:val="•"/>
      <w:lvlJc w:val="left"/>
      <w:pPr>
        <w:tabs>
          <w:tab w:val="num" w:pos="720"/>
        </w:tabs>
        <w:ind w:left="720" w:hanging="360"/>
      </w:pPr>
      <w:rPr>
        <w:rFonts w:ascii="Times New Roman" w:hAnsi="Times New Roman" w:hint="default"/>
      </w:rPr>
    </w:lvl>
    <w:lvl w:ilvl="1" w:tplc="799E3598" w:tentative="1">
      <w:start w:val="1"/>
      <w:numFmt w:val="bullet"/>
      <w:lvlText w:val="•"/>
      <w:lvlJc w:val="left"/>
      <w:pPr>
        <w:tabs>
          <w:tab w:val="num" w:pos="1440"/>
        </w:tabs>
        <w:ind w:left="1440" w:hanging="360"/>
      </w:pPr>
      <w:rPr>
        <w:rFonts w:ascii="Times New Roman" w:hAnsi="Times New Roman" w:hint="default"/>
      </w:rPr>
    </w:lvl>
    <w:lvl w:ilvl="2" w:tplc="7624B464" w:tentative="1">
      <w:start w:val="1"/>
      <w:numFmt w:val="bullet"/>
      <w:lvlText w:val="•"/>
      <w:lvlJc w:val="left"/>
      <w:pPr>
        <w:tabs>
          <w:tab w:val="num" w:pos="2160"/>
        </w:tabs>
        <w:ind w:left="2160" w:hanging="360"/>
      </w:pPr>
      <w:rPr>
        <w:rFonts w:ascii="Times New Roman" w:hAnsi="Times New Roman" w:hint="default"/>
      </w:rPr>
    </w:lvl>
    <w:lvl w:ilvl="3" w:tplc="0CE64386" w:tentative="1">
      <w:start w:val="1"/>
      <w:numFmt w:val="bullet"/>
      <w:lvlText w:val="•"/>
      <w:lvlJc w:val="left"/>
      <w:pPr>
        <w:tabs>
          <w:tab w:val="num" w:pos="2880"/>
        </w:tabs>
        <w:ind w:left="2880" w:hanging="360"/>
      </w:pPr>
      <w:rPr>
        <w:rFonts w:ascii="Times New Roman" w:hAnsi="Times New Roman" w:hint="default"/>
      </w:rPr>
    </w:lvl>
    <w:lvl w:ilvl="4" w:tplc="CD5CC9DA" w:tentative="1">
      <w:start w:val="1"/>
      <w:numFmt w:val="bullet"/>
      <w:lvlText w:val="•"/>
      <w:lvlJc w:val="left"/>
      <w:pPr>
        <w:tabs>
          <w:tab w:val="num" w:pos="3600"/>
        </w:tabs>
        <w:ind w:left="3600" w:hanging="360"/>
      </w:pPr>
      <w:rPr>
        <w:rFonts w:ascii="Times New Roman" w:hAnsi="Times New Roman" w:hint="default"/>
      </w:rPr>
    </w:lvl>
    <w:lvl w:ilvl="5" w:tplc="40EE4DA6" w:tentative="1">
      <w:start w:val="1"/>
      <w:numFmt w:val="bullet"/>
      <w:lvlText w:val="•"/>
      <w:lvlJc w:val="left"/>
      <w:pPr>
        <w:tabs>
          <w:tab w:val="num" w:pos="4320"/>
        </w:tabs>
        <w:ind w:left="4320" w:hanging="360"/>
      </w:pPr>
      <w:rPr>
        <w:rFonts w:ascii="Times New Roman" w:hAnsi="Times New Roman" w:hint="default"/>
      </w:rPr>
    </w:lvl>
    <w:lvl w:ilvl="6" w:tplc="6206D5C2" w:tentative="1">
      <w:start w:val="1"/>
      <w:numFmt w:val="bullet"/>
      <w:lvlText w:val="•"/>
      <w:lvlJc w:val="left"/>
      <w:pPr>
        <w:tabs>
          <w:tab w:val="num" w:pos="5040"/>
        </w:tabs>
        <w:ind w:left="5040" w:hanging="360"/>
      </w:pPr>
      <w:rPr>
        <w:rFonts w:ascii="Times New Roman" w:hAnsi="Times New Roman" w:hint="default"/>
      </w:rPr>
    </w:lvl>
    <w:lvl w:ilvl="7" w:tplc="F69E8BE2" w:tentative="1">
      <w:start w:val="1"/>
      <w:numFmt w:val="bullet"/>
      <w:lvlText w:val="•"/>
      <w:lvlJc w:val="left"/>
      <w:pPr>
        <w:tabs>
          <w:tab w:val="num" w:pos="5760"/>
        </w:tabs>
        <w:ind w:left="5760" w:hanging="360"/>
      </w:pPr>
      <w:rPr>
        <w:rFonts w:ascii="Times New Roman" w:hAnsi="Times New Roman" w:hint="default"/>
      </w:rPr>
    </w:lvl>
    <w:lvl w:ilvl="8" w:tplc="EB6C1E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7410625C"/>
    <w:multiLevelType w:val="hybridMultilevel"/>
    <w:tmpl w:val="4582F328"/>
    <w:lvl w:ilvl="0" w:tplc="C82E245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3B31F9"/>
    <w:rsid w:val="003419EC"/>
    <w:rsid w:val="003B31F9"/>
    <w:rsid w:val="00695B68"/>
    <w:rsid w:val="007948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F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695B68"/>
    <w:pPr>
      <w:keepNext/>
      <w:keepLines/>
      <w:spacing w:before="200"/>
      <w:outlineLvl w:val="1"/>
    </w:pPr>
    <w:rPr>
      <w:rFonts w:asciiTheme="majorHAnsi" w:eastAsiaTheme="majorEastAsia" w:hAnsiTheme="majorHAnsi" w:cstheme="majorBidi"/>
      <w:b/>
      <w:bCs/>
      <w:color w:val="6EA0B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B68"/>
    <w:rPr>
      <w:rFonts w:asciiTheme="majorHAnsi" w:eastAsiaTheme="majorEastAsia" w:hAnsiTheme="majorHAnsi" w:cstheme="majorBidi"/>
      <w:b/>
      <w:bCs/>
      <w:color w:val="6EA0B0" w:themeColor="accent1"/>
      <w:sz w:val="26"/>
      <w:szCs w:val="26"/>
    </w:rPr>
  </w:style>
  <w:style w:type="paragraph" w:styleId="ListParagraph">
    <w:name w:val="List Paragraph"/>
    <w:basedOn w:val="Normal"/>
    <w:uiPriority w:val="34"/>
    <w:qFormat/>
    <w:rsid w:val="003B31F9"/>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1</cp:revision>
  <dcterms:created xsi:type="dcterms:W3CDTF">2010-03-28T23:31:00Z</dcterms:created>
  <dcterms:modified xsi:type="dcterms:W3CDTF">2010-03-28T23:31:00Z</dcterms:modified>
</cp:coreProperties>
</file>